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body>
    <w:p w14:paraId="01000000">
      <w:pPr>
        <w:spacing w:after="0" w:line="240" w:lineRule="auto"/>
        <w:ind w:firstLine="709" w:left="0"/>
        <w:jc w:val="left"/>
        <w:rPr>
          <w:rFonts w:ascii="Times New Roman" w:hAnsi="Times New Roman"/>
          <w:b w:val="1"/>
          <w:sz w:val="28"/>
        </w:rPr>
      </w:pPr>
      <w:r>
        <w:rPr>
          <w:rFonts w:ascii="Times New Roman" w:hAnsi="Times New Roman"/>
          <w:b w:val="1"/>
          <w:sz w:val="28"/>
        </w:rPr>
        <w:t xml:space="preserve">             Прокуратурой г. Буйнакска выявлены нарушения</w:t>
      </w:r>
    </w:p>
    <w:p w14:paraId="02000000">
      <w:pPr>
        <w:spacing w:after="0" w:line="240" w:lineRule="auto"/>
        <w:ind w:firstLine="709" w:left="0"/>
        <w:jc w:val="left"/>
        <w:rPr>
          <w:rFonts w:ascii="Times New Roman" w:hAnsi="Times New Roman"/>
          <w:b w:val="1"/>
          <w:sz w:val="28"/>
        </w:rPr>
      </w:pPr>
      <w:r>
        <w:rPr>
          <w:rFonts w:ascii="Times New Roman" w:hAnsi="Times New Roman"/>
          <w:b w:val="1"/>
          <w:sz w:val="28"/>
        </w:rPr>
        <w:t xml:space="preserve">               законодательства в сфере дорожной деятельности</w:t>
      </w:r>
    </w:p>
    <w:p w14:paraId="03000000">
      <w:pPr>
        <w:spacing w:after="0" w:line="240" w:lineRule="auto"/>
        <w:ind w:firstLine="709" w:left="0"/>
        <w:jc w:val="center"/>
        <w:rPr>
          <w:rFonts w:ascii="Times New Roman" w:hAnsi="Times New Roman"/>
          <w:b w:val="1"/>
          <w:sz w:val="28"/>
        </w:rPr>
      </w:pPr>
    </w:p>
    <w:p w14:paraId="04000000">
      <w:pPr>
        <w:spacing w:after="0" w:line="240" w:lineRule="auto"/>
        <w:ind w:firstLine="708" w:left="0"/>
        <w:jc w:val="both"/>
        <w:rPr>
          <w:rFonts w:ascii="Times New Roman" w:hAnsi="Times New Roman"/>
          <w:sz w:val="28"/>
        </w:rPr>
      </w:pPr>
      <w:r>
        <w:rPr>
          <w:rFonts w:ascii="Times New Roman" w:hAnsi="Times New Roman"/>
          <w:sz w:val="28"/>
        </w:rPr>
        <w:t xml:space="preserve">Прокуратурой г. Буйнакска проведена проверка </w:t>
      </w:r>
      <w:r>
        <w:rPr>
          <w:rFonts w:ascii="Times New Roman" w:hAnsi="Times New Roman"/>
          <w:sz w:val="28"/>
        </w:rPr>
        <w:t xml:space="preserve">исполнения органами местного самоуправления требований законодательства </w:t>
      </w:r>
      <w:r>
        <w:rPr>
          <w:rFonts w:ascii="Times New Roman" w:hAnsi="Times New Roman"/>
          <w:sz w:val="28"/>
        </w:rPr>
        <w:t>в сфере дорожной деятельности.</w:t>
      </w:r>
      <w:r>
        <w:rPr>
          <w:rFonts w:ascii="Times New Roman" w:hAnsi="Times New Roman"/>
          <w:sz w:val="28"/>
        </w:rPr>
        <w:t xml:space="preserve"> </w:t>
      </w:r>
    </w:p>
    <w:p w14:paraId="05000000">
      <w:pPr>
        <w:spacing w:after="0" w:line="240" w:lineRule="auto"/>
        <w:ind w:firstLine="708" w:left="0"/>
        <w:jc w:val="both"/>
        <w:rPr>
          <w:rFonts w:ascii="Times New Roman" w:hAnsi="Times New Roman"/>
          <w:sz w:val="28"/>
        </w:rPr>
      </w:pPr>
      <w:r>
        <w:rPr>
          <w:rFonts w:ascii="Times New Roman" w:hAnsi="Times New Roman"/>
          <w:sz w:val="28"/>
        </w:rPr>
        <w:t xml:space="preserve"> </w:t>
      </w:r>
      <w:r>
        <w:rPr>
          <w:rFonts w:ascii="Times New Roman" w:hAnsi="Times New Roman"/>
          <w:sz w:val="28"/>
        </w:rPr>
        <w:t xml:space="preserve">В соответствии с ч. 8 ст. 26 Федерального закона от 08.11.2007 № 257-ФЗ </w:t>
      </w:r>
      <w:r>
        <w:rPr>
          <w:rFonts w:ascii="Times New Roman" w:hAnsi="Times New Roman"/>
          <w:sz w:val="28"/>
        </w:rPr>
        <w:t xml:space="preserve">«Об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(далее – Федеральный закон № 257-ФЗ) </w:t>
      </w:r>
      <w:r>
        <w:rPr>
          <w:rFonts w:ascii="Times New Roman" w:hAnsi="Times New Roman"/>
          <w:b w:val="0"/>
          <w:sz w:val="28"/>
        </w:rPr>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линий связи и сооружений связи, установка рекламных конструкций, информационных щитов и указателей допускаются при наличии согласования в письменной форме владельца автомобильной дороги.</w:t>
      </w:r>
      <w:r>
        <w:rPr>
          <w:rFonts w:ascii="Times New Roman" w:hAnsi="Times New Roman"/>
          <w:sz w:val="28"/>
        </w:rPr>
        <w:t xml:space="preserve"> </w:t>
      </w:r>
    </w:p>
    <w:p w14:paraId="06000000">
      <w:pPr>
        <w:spacing w:after="0" w:line="240" w:lineRule="auto"/>
        <w:ind w:firstLine="708" w:left="0"/>
        <w:jc w:val="both"/>
        <w:rPr>
          <w:rFonts w:ascii="Times New Roman" w:hAnsi="Times New Roman"/>
          <w:sz w:val="28"/>
        </w:rPr>
      </w:pPr>
      <w:r>
        <w:rPr>
          <w:rFonts w:ascii="Times New Roman" w:hAnsi="Times New Roman"/>
          <w:sz w:val="28"/>
        </w:rPr>
        <w:t xml:space="preserve">Согласно ч. 7 ст. 22 Федерального закона № 257-ФЗ </w:t>
      </w:r>
      <w:r>
        <w:rPr>
          <w:rFonts w:ascii="Times New Roman" w:hAnsi="Times New Roman"/>
          <w:b w:val="0"/>
          <w:sz w:val="28"/>
        </w:rPr>
        <w:t>за оказание услуг присоединения объектов дорожного сервиса к автомобильным дорогам взимается плата на основании заключаемого с владельцами автомобильных дорог договора о присоединении объекта дорожного сервиса к автомобильной д</w:t>
      </w:r>
      <w:r>
        <w:rPr>
          <w:rFonts w:ascii="Times New Roman" w:hAnsi="Times New Roman"/>
          <w:b w:val="0"/>
          <w:sz w:val="28"/>
        </w:rPr>
        <w:t>ороге.</w:t>
      </w:r>
    </w:p>
    <w:p w14:paraId="07000000">
      <w:pPr>
        <w:spacing w:after="0" w:before="0" w:line="240" w:lineRule="auto"/>
        <w:ind w:firstLine="709" w:left="0" w:right="0"/>
        <w:jc w:val="both"/>
        <w:rPr>
          <w:rFonts w:ascii="Times New Roman" w:hAnsi="Times New Roman"/>
          <w:b w:val="0"/>
          <w:sz w:val="28"/>
        </w:rPr>
      </w:pPr>
      <w:r>
        <w:rPr>
          <w:rFonts w:ascii="Times New Roman" w:hAnsi="Times New Roman"/>
          <w:b w:val="0"/>
          <w:strike w:val="0"/>
          <w:color w:val="000000"/>
          <w:sz w:val="28"/>
          <w:u w:color="000000" w:val="none"/>
        </w:rPr>
        <w:t>Плата</w:t>
      </w:r>
      <w:r>
        <w:rPr>
          <w:rFonts w:ascii="Times New Roman" w:hAnsi="Times New Roman"/>
          <w:b w:val="0"/>
          <w:color w:val="000000"/>
          <w:sz w:val="28"/>
          <w:u w:val="none"/>
        </w:rPr>
        <w:t xml:space="preserve"> </w:t>
      </w:r>
      <w:r>
        <w:rPr>
          <w:rFonts w:ascii="Times New Roman" w:hAnsi="Times New Roman"/>
          <w:b w:val="0"/>
          <w:color w:val="000000"/>
          <w:sz w:val="28"/>
          <w:u w:val="none"/>
        </w:rPr>
        <w:t>за</w:t>
      </w:r>
      <w:r>
        <w:rPr>
          <w:rFonts w:ascii="Times New Roman" w:hAnsi="Times New Roman"/>
          <w:b w:val="0"/>
          <w:sz w:val="28"/>
        </w:rPr>
        <w:t xml:space="preserve"> присоединение объектов дорожного сервиса к автомобильным дорогам общего пользования федерального, регионального или межмуниципального, местного значения рассчитывается исходя из установленных соответственно уполномоченным Правительством Российской Федерации федеральным органом исполнительной власти, высшим исполнительным органом субъекта Российской Федерации, органом местного самоуправления стоимости и объема услуг, оказываемых по договору о присоединении соответствующего объекта дорожного сервиса к соответствующей автомобильной дороге (ч. 9 ст. 22 Федерального закона  </w:t>
      </w:r>
      <w:r>
        <w:br/>
      </w:r>
      <w:r>
        <w:rPr>
          <w:rFonts w:ascii="Times New Roman" w:hAnsi="Times New Roman"/>
          <w:b w:val="0"/>
          <w:sz w:val="28"/>
        </w:rPr>
        <w:t>№ 257-ФЗ).</w:t>
      </w:r>
    </w:p>
    <w:p w14:paraId="08000000">
      <w:pPr>
        <w:spacing w:after="0" w:before="0" w:line="240" w:lineRule="auto"/>
        <w:ind w:firstLine="709" w:left="0" w:right="0"/>
        <w:jc w:val="both"/>
        <w:rPr>
          <w:rFonts w:ascii="Times New Roman" w:hAnsi="Times New Roman"/>
          <w:b w:val="0"/>
          <w:sz w:val="28"/>
        </w:rPr>
      </w:pPr>
      <w:r>
        <w:rPr>
          <w:rFonts w:ascii="Times New Roman" w:hAnsi="Times New Roman"/>
          <w:b w:val="0"/>
          <w:sz w:val="28"/>
        </w:rPr>
        <w:t xml:space="preserve">Установлено, что администрацией ГО «город Буйнакск» в нарушении требований </w:t>
      </w:r>
      <w:r>
        <w:rPr>
          <w:rFonts w:ascii="Times New Roman" w:hAnsi="Times New Roman"/>
          <w:b w:val="0"/>
          <w:sz w:val="28"/>
        </w:rPr>
        <w:t>ст. 12 Федерального закона от 27.07.2010 № 210-ФЗ «Об организации предоставления государственных и муниципальных услуг» не принят административный регламент предоставления муниципальной услуги присоединения объекта дорожного сервиса к автомобильной дороге местного значения.</w:t>
      </w:r>
    </w:p>
    <w:p w14:paraId="09000000">
      <w:pPr>
        <w:spacing w:after="0" w:before="0" w:line="240" w:lineRule="auto"/>
        <w:ind w:firstLine="709" w:left="0" w:right="0"/>
        <w:jc w:val="both"/>
        <w:rPr>
          <w:rFonts w:ascii="Times New Roman" w:hAnsi="Times New Roman"/>
          <w:b w:val="0"/>
          <w:sz w:val="28"/>
        </w:rPr>
      </w:pPr>
      <w:r>
        <w:rPr>
          <w:rFonts w:ascii="Times New Roman" w:hAnsi="Times New Roman"/>
          <w:b w:val="0"/>
          <w:sz w:val="28"/>
        </w:rPr>
        <w:t xml:space="preserve">Кроме того, в нарушении ч. 9 ст. 22 Федерального закона № 257-ФЗ, </w:t>
      </w:r>
      <w:r>
        <w:br/>
      </w:r>
      <w:r>
        <w:rPr>
          <w:rFonts w:ascii="Times New Roman" w:hAnsi="Times New Roman"/>
          <w:b w:val="0"/>
          <w:sz w:val="28"/>
        </w:rPr>
        <w:t>п. 5 ст. 15 Федерального закона от 06.10.2003 № 131-ФЗ «Об общих принципах организации местного самоуправления в Российской Федерации» администрацией ГО «город Буйнакск» нормативно не урегулирован вопрос о взимании платы за присоединение объектов дорожного сервиса к автомобильным дорогам местного значения, соответствующий муниципальный нормативный правовой акт не принят.</w:t>
      </w:r>
    </w:p>
    <w:p w14:paraId="0A000000">
      <w:pPr>
        <w:spacing w:after="0" w:before="0" w:line="240" w:lineRule="auto"/>
        <w:ind w:firstLine="709" w:left="0" w:right="0"/>
        <w:jc w:val="both"/>
        <w:rPr>
          <w:rFonts w:ascii="Times New Roman" w:hAnsi="Times New Roman"/>
          <w:b w:val="0"/>
          <w:sz w:val="28"/>
        </w:rPr>
      </w:pPr>
      <w:r>
        <w:rPr>
          <w:rFonts w:ascii="Times New Roman" w:hAnsi="Times New Roman"/>
          <w:b w:val="0"/>
          <w:sz w:val="28"/>
        </w:rPr>
        <w:t xml:space="preserve">В связи с этим, прокуратурой города в администрацию города внесено представление об устранении нарушений законодательства в сфере дорожной деятельности, рассмотрение которого и принятие конкретных мер по их устранению находится на контроле. </w:t>
      </w:r>
    </w:p>
    <w:p w14:paraId="0B000000">
      <w:pPr>
        <w:tabs>
          <w:tab w:leader="none" w:pos="709" w:val="left"/>
        </w:tabs>
        <w:spacing w:after="0" w:line="240" w:lineRule="auto"/>
        <w:ind w:firstLine="709" w:left="0"/>
        <w:jc w:val="both"/>
        <w:rPr>
          <w:rFonts w:ascii="Times New Roman" w:hAnsi="Times New Roman"/>
          <w:color w:val="000000"/>
          <w:sz w:val="28"/>
          <w:highlight w:val="white"/>
        </w:rPr>
      </w:pPr>
    </w:p>
    <w:p w14:paraId="0C000000">
      <w:pPr>
        <w:spacing w:after="0" w:line="240" w:lineRule="auto"/>
        <w:ind/>
        <w:rPr>
          <w:rFonts w:ascii="Times New Roman" w:hAnsi="Times New Roman"/>
          <w:sz w:val="28"/>
        </w:rPr>
      </w:pPr>
      <w:r>
        <w:rPr>
          <w:rFonts w:ascii="Times New Roman" w:hAnsi="Times New Roman"/>
          <w:sz w:val="28"/>
        </w:rPr>
        <w:t xml:space="preserve">Старший помощник </w:t>
      </w:r>
    </w:p>
    <w:p w14:paraId="0D000000">
      <w:pPr>
        <w:spacing w:after="0" w:line="240" w:lineRule="auto"/>
        <w:ind/>
        <w:rPr>
          <w:sz w:val="28"/>
        </w:rPr>
      </w:pPr>
      <w:r>
        <w:rPr>
          <w:rFonts w:ascii="Times New Roman" w:hAnsi="Times New Roman"/>
          <w:sz w:val="28"/>
        </w:rPr>
        <w:t xml:space="preserve">прокурора г. Буйнакска                                                               </w:t>
      </w:r>
      <w:r>
        <w:rPr>
          <w:rFonts w:ascii="Times New Roman" w:hAnsi="Times New Roman"/>
          <w:sz w:val="28"/>
        </w:rPr>
        <w:t xml:space="preserve">    </w:t>
      </w:r>
      <w:r>
        <w:rPr>
          <w:rFonts w:ascii="Times New Roman" w:hAnsi="Times New Roman"/>
          <w:sz w:val="28"/>
        </w:rPr>
        <w:t xml:space="preserve">      К.З. Девлетов</w:t>
      </w:r>
    </w:p>
    <w:p w14:paraId="0E000000">
      <w:pPr>
        <w:rPr>
          <w:sz w:val="28"/>
        </w:rPr>
      </w:pPr>
    </w:p>
    <w:sectPr>
      <w:pgSz w:h="16838" w:orient="portrait" w:w="11906"/>
      <w:pgMar w:bottom="1134" w:footer="708" w:gutter="0" w:header="708" w:left="1418" w:right="850" w:top="1134"/>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efaultTabStop w:val="708"/>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ocDefaults>
    <w:rPrDefault>
      <w:rPr>
        <w:rFonts w:asciiTheme="minorAscii" w:hAnsiTheme="minorHAnsi"/>
        <w:color w:val="000000"/>
        <w:spacing w:val="0"/>
        <w:sz w:val="22"/>
      </w:rPr>
    </w:rPrDefault>
    <w:pPrDefault>
      <w:pPr>
        <w:spacing w:after="160" w:before="0" w:line="264" w:lineRule="auto"/>
        <w:ind w:firstLine="0" w:left="0" w:right="0"/>
        <w:jc w:val="left"/>
      </w:pPr>
    </w:pPrDefault>
  </w:docDefaults>
  <w:latentStyles w:count="25"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End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1" w:type="paragraph">
    <w:name w:val="Normal"/>
    <w:link w:val="Style_1_ch"/>
    <w:uiPriority w:val="0"/>
    <w:qFormat/>
    <w:pPr>
      <w:spacing w:after="200" w:line="276" w:lineRule="auto"/>
      <w:ind/>
    </w:pPr>
    <w:rPr>
      <w:rFonts w:ascii="Calibri" w:hAnsi="Calibri"/>
    </w:rPr>
  </w:style>
  <w:style w:default="1" w:styleId="Style_1_ch" w:type="character">
    <w:name w:val="Normal"/>
    <w:link w:val="Style_1"/>
    <w:rPr>
      <w:rFonts w:ascii="Calibri" w:hAnsi="Calibri"/>
    </w:rPr>
  </w:style>
  <w:style w:styleId="Style_2" w:type="paragraph">
    <w:name w:val="toc 2"/>
    <w:next w:val="Style_1"/>
    <w:link w:val="Style_2_ch"/>
    <w:uiPriority w:val="39"/>
    <w:pPr>
      <w:ind w:firstLine="0" w:left="200"/>
      <w:jc w:val="left"/>
    </w:pPr>
    <w:rPr>
      <w:rFonts w:ascii="XO Thames" w:hAnsi="XO Thames"/>
      <w:sz w:val="28"/>
    </w:rPr>
  </w:style>
  <w:style w:styleId="Style_2_ch" w:type="character">
    <w:name w:val="toc 2"/>
    <w:link w:val="Style_2"/>
    <w:rPr>
      <w:rFonts w:ascii="XO Thames" w:hAnsi="XO Thames"/>
      <w:sz w:val="28"/>
    </w:rPr>
  </w:style>
  <w:style w:styleId="Style_3" w:type="paragraph">
    <w:name w:val="toc 4"/>
    <w:next w:val="Style_1"/>
    <w:link w:val="Style_3_ch"/>
    <w:uiPriority w:val="39"/>
    <w:pPr>
      <w:ind w:firstLine="0" w:left="600"/>
      <w:jc w:val="left"/>
    </w:pPr>
    <w:rPr>
      <w:rFonts w:ascii="XO Thames" w:hAnsi="XO Thames"/>
      <w:sz w:val="28"/>
    </w:rPr>
  </w:style>
  <w:style w:styleId="Style_3_ch" w:type="character">
    <w:name w:val="toc 4"/>
    <w:link w:val="Style_3"/>
    <w:rPr>
      <w:rFonts w:ascii="XO Thames" w:hAnsi="XO Thames"/>
      <w:sz w:val="28"/>
    </w:rPr>
  </w:style>
  <w:style w:styleId="Style_4" w:type="paragraph">
    <w:name w:val="toc 6"/>
    <w:next w:val="Style_1"/>
    <w:link w:val="Style_4_ch"/>
    <w:uiPriority w:val="39"/>
    <w:pPr>
      <w:ind w:firstLine="0" w:left="1000"/>
      <w:jc w:val="left"/>
    </w:pPr>
    <w:rPr>
      <w:rFonts w:ascii="XO Thames" w:hAnsi="XO Thames"/>
      <w:sz w:val="28"/>
    </w:rPr>
  </w:style>
  <w:style w:styleId="Style_4_ch" w:type="character">
    <w:name w:val="toc 6"/>
    <w:link w:val="Style_4"/>
    <w:rPr>
      <w:rFonts w:ascii="XO Thames" w:hAnsi="XO Thames"/>
      <w:sz w:val="28"/>
    </w:rPr>
  </w:style>
  <w:style w:styleId="Style_5" w:type="paragraph">
    <w:name w:val="toc 7"/>
    <w:next w:val="Style_1"/>
    <w:link w:val="Style_5_ch"/>
    <w:uiPriority w:val="39"/>
    <w:pPr>
      <w:ind w:firstLine="0" w:left="1200"/>
      <w:jc w:val="left"/>
    </w:pPr>
    <w:rPr>
      <w:rFonts w:ascii="XO Thames" w:hAnsi="XO Thames"/>
      <w:sz w:val="28"/>
    </w:rPr>
  </w:style>
  <w:style w:styleId="Style_5_ch" w:type="character">
    <w:name w:val="toc 7"/>
    <w:link w:val="Style_5"/>
    <w:rPr>
      <w:rFonts w:ascii="XO Thames" w:hAnsi="XO Thames"/>
      <w:sz w:val="28"/>
    </w:rPr>
  </w:style>
  <w:style w:styleId="Style_6" w:type="paragraph">
    <w:name w:val="Endnote"/>
    <w:link w:val="Style_6_ch"/>
    <w:pPr>
      <w:ind w:firstLine="851" w:left="0"/>
      <w:jc w:val="both"/>
    </w:pPr>
    <w:rPr>
      <w:rFonts w:ascii="XO Thames" w:hAnsi="XO Thames"/>
      <w:sz w:val="22"/>
    </w:rPr>
  </w:style>
  <w:style w:styleId="Style_6_ch" w:type="character">
    <w:name w:val="Endnote"/>
    <w:link w:val="Style_6"/>
    <w:rPr>
      <w:rFonts w:ascii="XO Thames" w:hAnsi="XO Thames"/>
      <w:sz w:val="22"/>
    </w:rPr>
  </w:style>
  <w:style w:styleId="Style_7" w:type="paragraph">
    <w:name w:val="heading 3"/>
    <w:next w:val="Style_1"/>
    <w:link w:val="Style_7_ch"/>
    <w:uiPriority w:val="9"/>
    <w:qFormat/>
    <w:pPr>
      <w:spacing w:after="120" w:before="120"/>
      <w:ind/>
      <w:jc w:val="both"/>
      <w:outlineLvl w:val="2"/>
    </w:pPr>
    <w:rPr>
      <w:rFonts w:ascii="XO Thames" w:hAnsi="XO Thames"/>
      <w:b w:val="1"/>
      <w:sz w:val="26"/>
    </w:rPr>
  </w:style>
  <w:style w:styleId="Style_7_ch" w:type="character">
    <w:name w:val="heading 3"/>
    <w:link w:val="Style_7"/>
    <w:rPr>
      <w:rFonts w:ascii="XO Thames" w:hAnsi="XO Thames"/>
      <w:b w:val="1"/>
      <w:sz w:val="26"/>
    </w:rPr>
  </w:style>
  <w:style w:styleId="Style_8" w:type="paragraph">
    <w:name w:val="toc 3"/>
    <w:next w:val="Style_1"/>
    <w:link w:val="Style_8_ch"/>
    <w:uiPriority w:val="39"/>
    <w:pPr>
      <w:ind w:firstLine="0" w:left="400"/>
      <w:jc w:val="left"/>
    </w:pPr>
    <w:rPr>
      <w:rFonts w:ascii="XO Thames" w:hAnsi="XO Thames"/>
      <w:sz w:val="28"/>
    </w:rPr>
  </w:style>
  <w:style w:styleId="Style_8_ch" w:type="character">
    <w:name w:val="toc 3"/>
    <w:link w:val="Style_8"/>
    <w:rPr>
      <w:rFonts w:ascii="XO Thames" w:hAnsi="XO Thames"/>
      <w:sz w:val="28"/>
    </w:rPr>
  </w:style>
  <w:style w:styleId="Style_9" w:type="paragraph">
    <w:name w:val="heading 5"/>
    <w:next w:val="Style_1"/>
    <w:link w:val="Style_9_ch"/>
    <w:uiPriority w:val="9"/>
    <w:qFormat/>
    <w:pPr>
      <w:spacing w:after="120" w:before="120"/>
      <w:ind/>
      <w:jc w:val="both"/>
      <w:outlineLvl w:val="4"/>
    </w:pPr>
    <w:rPr>
      <w:rFonts w:ascii="XO Thames" w:hAnsi="XO Thames"/>
      <w:b w:val="1"/>
      <w:sz w:val="22"/>
    </w:rPr>
  </w:style>
  <w:style w:styleId="Style_9_ch" w:type="character">
    <w:name w:val="heading 5"/>
    <w:link w:val="Style_9"/>
    <w:rPr>
      <w:rFonts w:ascii="XO Thames" w:hAnsi="XO Thames"/>
      <w:b w:val="1"/>
      <w:sz w:val="22"/>
    </w:rPr>
  </w:style>
  <w:style w:styleId="Style_10" w:type="paragraph">
    <w:name w:val="heading 1"/>
    <w:next w:val="Style_1"/>
    <w:link w:val="Style_10_ch"/>
    <w:uiPriority w:val="9"/>
    <w:qFormat/>
    <w:pPr>
      <w:spacing w:after="120" w:before="120"/>
      <w:ind/>
      <w:jc w:val="both"/>
      <w:outlineLvl w:val="0"/>
    </w:pPr>
    <w:rPr>
      <w:rFonts w:ascii="XO Thames" w:hAnsi="XO Thames"/>
      <w:b w:val="1"/>
      <w:sz w:val="32"/>
    </w:rPr>
  </w:style>
  <w:style w:styleId="Style_10_ch" w:type="character">
    <w:name w:val="heading 1"/>
    <w:link w:val="Style_10"/>
    <w:rPr>
      <w:rFonts w:ascii="XO Thames" w:hAnsi="XO Thames"/>
      <w:b w:val="1"/>
      <w:sz w:val="32"/>
    </w:rPr>
  </w:style>
  <w:style w:styleId="Style_11" w:type="paragraph">
    <w:name w:val="Hyperlink"/>
    <w:link w:val="Style_11_ch"/>
    <w:rPr>
      <w:color w:val="0000FF"/>
      <w:u w:val="single"/>
    </w:rPr>
  </w:style>
  <w:style w:styleId="Style_11_ch" w:type="character">
    <w:name w:val="Hyperlink"/>
    <w:link w:val="Style_11"/>
    <w:rPr>
      <w:color w:val="0000FF"/>
      <w:u w:val="single"/>
    </w:rPr>
  </w:style>
  <w:style w:styleId="Style_12" w:type="paragraph">
    <w:name w:val="Footnote"/>
    <w:link w:val="Style_12_ch"/>
    <w:pPr>
      <w:ind w:firstLine="851" w:left="0"/>
      <w:jc w:val="both"/>
    </w:pPr>
    <w:rPr>
      <w:rFonts w:ascii="XO Thames" w:hAnsi="XO Thames"/>
      <w:sz w:val="22"/>
    </w:rPr>
  </w:style>
  <w:style w:styleId="Style_12_ch" w:type="character">
    <w:name w:val="Footnote"/>
    <w:link w:val="Style_12"/>
    <w:rPr>
      <w:rFonts w:ascii="XO Thames" w:hAnsi="XO Thames"/>
      <w:sz w:val="22"/>
    </w:rPr>
  </w:style>
  <w:style w:styleId="Style_13" w:type="paragraph">
    <w:name w:val="toc 1"/>
    <w:next w:val="Style_1"/>
    <w:link w:val="Style_13_ch"/>
    <w:uiPriority w:val="39"/>
    <w:pPr>
      <w:ind w:firstLine="0" w:left="0"/>
      <w:jc w:val="left"/>
    </w:pPr>
    <w:rPr>
      <w:rFonts w:ascii="XO Thames" w:hAnsi="XO Thames"/>
      <w:b w:val="1"/>
      <w:sz w:val="28"/>
    </w:rPr>
  </w:style>
  <w:style w:styleId="Style_13_ch" w:type="character">
    <w:name w:val="toc 1"/>
    <w:link w:val="Style_13"/>
    <w:rPr>
      <w:rFonts w:ascii="XO Thames" w:hAnsi="XO Thames"/>
      <w:b w:val="1"/>
      <w:sz w:val="28"/>
    </w:rPr>
  </w:style>
  <w:style w:styleId="Style_14" w:type="paragraph">
    <w:name w:val="Header and Footer"/>
    <w:link w:val="Style_14_ch"/>
    <w:pPr>
      <w:spacing w:line="240" w:lineRule="auto"/>
      <w:ind/>
      <w:jc w:val="both"/>
    </w:pPr>
    <w:rPr>
      <w:rFonts w:ascii="XO Thames" w:hAnsi="XO Thames"/>
      <w:sz w:val="28"/>
    </w:rPr>
  </w:style>
  <w:style w:styleId="Style_14_ch" w:type="character">
    <w:name w:val="Header and Footer"/>
    <w:link w:val="Style_14"/>
    <w:rPr>
      <w:rFonts w:ascii="XO Thames" w:hAnsi="XO Thames"/>
      <w:sz w:val="28"/>
    </w:rPr>
  </w:style>
  <w:style w:styleId="Style_15" w:type="paragraph">
    <w:name w:val="toc 9"/>
    <w:next w:val="Style_1"/>
    <w:link w:val="Style_15_ch"/>
    <w:uiPriority w:val="39"/>
    <w:pPr>
      <w:ind w:firstLine="0" w:left="1600"/>
      <w:jc w:val="left"/>
    </w:pPr>
    <w:rPr>
      <w:rFonts w:ascii="XO Thames" w:hAnsi="XO Thames"/>
      <w:sz w:val="28"/>
    </w:rPr>
  </w:style>
  <w:style w:styleId="Style_15_ch" w:type="character">
    <w:name w:val="toc 9"/>
    <w:link w:val="Style_15"/>
    <w:rPr>
      <w:rFonts w:ascii="XO Thames" w:hAnsi="XO Thames"/>
      <w:sz w:val="28"/>
    </w:rPr>
  </w:style>
  <w:style w:styleId="Style_16" w:type="paragraph">
    <w:name w:val="toc 8"/>
    <w:next w:val="Style_1"/>
    <w:link w:val="Style_16_ch"/>
    <w:uiPriority w:val="39"/>
    <w:pPr>
      <w:ind w:firstLine="0" w:left="1400"/>
      <w:jc w:val="left"/>
    </w:pPr>
    <w:rPr>
      <w:rFonts w:ascii="XO Thames" w:hAnsi="XO Thames"/>
      <w:sz w:val="28"/>
    </w:rPr>
  </w:style>
  <w:style w:styleId="Style_16_ch" w:type="character">
    <w:name w:val="toc 8"/>
    <w:link w:val="Style_16"/>
    <w:rPr>
      <w:rFonts w:ascii="XO Thames" w:hAnsi="XO Thames"/>
      <w:sz w:val="28"/>
    </w:rPr>
  </w:style>
  <w:style w:styleId="Style_17" w:type="paragraph">
    <w:name w:val="toc 5"/>
    <w:next w:val="Style_1"/>
    <w:link w:val="Style_17_ch"/>
    <w:uiPriority w:val="39"/>
    <w:pPr>
      <w:ind w:firstLine="0" w:left="800"/>
      <w:jc w:val="left"/>
    </w:pPr>
    <w:rPr>
      <w:rFonts w:ascii="XO Thames" w:hAnsi="XO Thames"/>
      <w:sz w:val="28"/>
    </w:rPr>
  </w:style>
  <w:style w:styleId="Style_17_ch" w:type="character">
    <w:name w:val="toc 5"/>
    <w:link w:val="Style_17"/>
    <w:rPr>
      <w:rFonts w:ascii="XO Thames" w:hAnsi="XO Thames"/>
      <w:sz w:val="28"/>
    </w:rPr>
  </w:style>
  <w:style w:styleId="Style_18" w:type="paragraph">
    <w:name w:val="Subtitle"/>
    <w:next w:val="Style_1"/>
    <w:link w:val="Style_18_ch"/>
    <w:uiPriority w:val="11"/>
    <w:qFormat/>
    <w:pPr>
      <w:ind/>
      <w:jc w:val="both"/>
    </w:pPr>
    <w:rPr>
      <w:rFonts w:ascii="XO Thames" w:hAnsi="XO Thames"/>
      <w:i w:val="1"/>
      <w:sz w:val="24"/>
    </w:rPr>
  </w:style>
  <w:style w:styleId="Style_18_ch" w:type="character">
    <w:name w:val="Subtitle"/>
    <w:link w:val="Style_18"/>
    <w:rPr>
      <w:rFonts w:ascii="XO Thames" w:hAnsi="XO Thames"/>
      <w:i w:val="1"/>
      <w:sz w:val="24"/>
    </w:rPr>
  </w:style>
  <w:style w:styleId="Style_19" w:type="paragraph">
    <w:name w:val="Title"/>
    <w:next w:val="Style_1"/>
    <w:link w:val="Style_19_ch"/>
    <w:uiPriority w:val="10"/>
    <w:qFormat/>
    <w:pPr>
      <w:spacing w:after="567" w:before="567"/>
      <w:ind/>
      <w:jc w:val="center"/>
    </w:pPr>
    <w:rPr>
      <w:rFonts w:ascii="XO Thames" w:hAnsi="XO Thames"/>
      <w:b w:val="1"/>
      <w:caps w:val="1"/>
      <w:sz w:val="40"/>
    </w:rPr>
  </w:style>
  <w:style w:styleId="Style_19_ch" w:type="character">
    <w:name w:val="Title"/>
    <w:link w:val="Style_19"/>
    <w:rPr>
      <w:rFonts w:ascii="XO Thames" w:hAnsi="XO Thames"/>
      <w:b w:val="1"/>
      <w:caps w:val="1"/>
      <w:sz w:val="40"/>
    </w:rPr>
  </w:style>
  <w:style w:styleId="Style_20" w:type="paragraph">
    <w:name w:val="heading 4"/>
    <w:next w:val="Style_1"/>
    <w:link w:val="Style_20_ch"/>
    <w:uiPriority w:val="9"/>
    <w:qFormat/>
    <w:pPr>
      <w:spacing w:after="120" w:before="120"/>
      <w:ind/>
      <w:jc w:val="both"/>
      <w:outlineLvl w:val="3"/>
    </w:pPr>
    <w:rPr>
      <w:rFonts w:ascii="XO Thames" w:hAnsi="XO Thames"/>
      <w:b w:val="1"/>
      <w:sz w:val="24"/>
    </w:rPr>
  </w:style>
  <w:style w:styleId="Style_20_ch" w:type="character">
    <w:name w:val="heading 4"/>
    <w:link w:val="Style_20"/>
    <w:rPr>
      <w:rFonts w:ascii="XO Thames" w:hAnsi="XO Thames"/>
      <w:b w:val="1"/>
      <w:sz w:val="24"/>
    </w:rPr>
  </w:style>
  <w:style w:styleId="Style_21" w:type="paragraph">
    <w:name w:val="heading 2"/>
    <w:next w:val="Style_1"/>
    <w:link w:val="Style_21_ch"/>
    <w:uiPriority w:val="9"/>
    <w:qFormat/>
    <w:pPr>
      <w:spacing w:after="120" w:before="120"/>
      <w:ind/>
      <w:jc w:val="both"/>
      <w:outlineLvl w:val="1"/>
    </w:pPr>
    <w:rPr>
      <w:rFonts w:ascii="XO Thames" w:hAnsi="XO Thames"/>
      <w:b w:val="1"/>
      <w:sz w:val="28"/>
    </w:rPr>
  </w:style>
  <w:style w:styleId="Style_21_ch" w:type="character">
    <w:name w:val="heading 2"/>
    <w:link w:val="Style_21"/>
    <w:rPr>
      <w:rFonts w:ascii="XO Thames" w:hAnsi="XO Thames"/>
      <w:b w:val="1"/>
      <w:sz w:val="28"/>
    </w:rPr>
  </w:style>
  <w:style w:styleId="Style_22" w:type="paragraph">
    <w:name w:val="Default Paragraph Font"/>
    <w:link w:val="Style_22_ch"/>
  </w:style>
  <w:style w:styleId="Style_22_ch" w:type="character">
    <w:name w:val="Default Paragraph Font"/>
    <w:link w:val="Style_22"/>
  </w:style>
  <w:style w:default="1" w:styleId="Style_23" w:type="table">
    <w:name w:val="Normal Table"/>
    <w:tblPr>
      <w:tblInd w:type="dxa" w:w="0"/>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6" Target="theme/theme1.xml" Type="http://schemas.openxmlformats.org/officeDocument/2006/relationships/theme"/>
  <Relationship Id="rId1" Target="fontTable.xml" Type="http://schemas.openxmlformats.org/officeDocument/2006/relationships/fontTable"/>
  <Relationship Id="rId2" Target="settings.xml" Type="http://schemas.openxmlformats.org/officeDocument/2006/relationships/settings"/>
  <Relationship Id="rId3" Target="styles.xml" Type="http://schemas.openxmlformats.org/officeDocument/2006/relationships/styles"/>
  <Relationship Id="rId4" Target="stylesWithEffects.xml" Type="http://schemas.microsoft.com/office/2007/relationships/stylesWithEffects"/>
  <Relationship Id="rId5" Target="webSettings.xml" Type="http://schemas.openxmlformats.org/officeDocument/2006/relationships/webSettings"/>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MyOffice-CoreFramework-Linux/31-1176.784.8785.803.1@b7d79ee91c0484ce8e5066dc862bfc403a32edb5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2025-11-06T12:39:38Z</dcterms:modified>
</cp:coreProperties>
</file>